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3D233" w14:textId="77777777" w:rsidR="00662E85" w:rsidRDefault="00662E85" w:rsidP="00662E85">
      <w:pPr>
        <w:rPr>
          <w:rFonts w:ascii="Times New Roman" w:hAnsi="Times New Roman" w:cs="Times New Roman"/>
          <w:b/>
          <w:bCs/>
          <w:sz w:val="28"/>
          <w:szCs w:val="28"/>
        </w:rPr>
      </w:pPr>
    </w:p>
    <w:p w14:paraId="618258EA" w14:textId="65CB832A" w:rsidR="0020099D" w:rsidRPr="00002960" w:rsidRDefault="0020099D" w:rsidP="0020099D">
      <w:pPr>
        <w:ind w:firstLine="851"/>
        <w:jc w:val="center"/>
        <w:rPr>
          <w:rFonts w:ascii="Times New Roman" w:hAnsi="Times New Roman" w:cs="Times New Roman"/>
          <w:b/>
          <w:bCs/>
          <w:sz w:val="24"/>
          <w:szCs w:val="24"/>
        </w:rPr>
      </w:pPr>
      <w:r w:rsidRPr="00002960">
        <w:rPr>
          <w:rFonts w:ascii="Times New Roman" w:hAnsi="Times New Roman" w:cs="Times New Roman"/>
          <w:b/>
          <w:bCs/>
          <w:sz w:val="24"/>
          <w:szCs w:val="24"/>
        </w:rPr>
        <w:t>Порядок предоставления обеспечения, требования к такому обеспечению.</w:t>
      </w:r>
    </w:p>
    <w:p w14:paraId="189111B2" w14:textId="2E3FD2AF" w:rsidR="0020099D" w:rsidRPr="00002960" w:rsidRDefault="0020099D" w:rsidP="0020099D">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 xml:space="preserve">Порядок предоставления обеспечения исполнения контракта, требования к такому обеспечению определены статьей 96 Федерального закона № 44-ФЗ. </w:t>
      </w:r>
    </w:p>
    <w:p w14:paraId="62F990E9" w14:textId="297E0B53" w:rsidR="0020099D" w:rsidRPr="00002960" w:rsidRDefault="0020099D" w:rsidP="0020099D">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Исполнение контракта может обеспечиваться предоставлением независимой гарантии,</w:t>
      </w:r>
      <w:r w:rsidR="005A33B6" w:rsidRPr="00002960">
        <w:rPr>
          <w:rFonts w:ascii="Times New Roman" w:hAnsi="Times New Roman" w:cs="Times New Roman"/>
          <w:sz w:val="24"/>
          <w:szCs w:val="24"/>
        </w:rPr>
        <w:t xml:space="preserve"> которая должна</w:t>
      </w:r>
      <w:r w:rsidRPr="00002960">
        <w:rPr>
          <w:rFonts w:ascii="Times New Roman" w:hAnsi="Times New Roman" w:cs="Times New Roman"/>
          <w:sz w:val="24"/>
          <w:szCs w:val="24"/>
        </w:rPr>
        <w:t xml:space="preserve"> соответств</w:t>
      </w:r>
      <w:r w:rsidR="005A33B6" w:rsidRPr="00002960">
        <w:rPr>
          <w:rFonts w:ascii="Times New Roman" w:hAnsi="Times New Roman" w:cs="Times New Roman"/>
          <w:sz w:val="24"/>
          <w:szCs w:val="24"/>
        </w:rPr>
        <w:t>овать</w:t>
      </w:r>
      <w:r w:rsidRPr="00002960">
        <w:rPr>
          <w:rFonts w:ascii="Times New Roman" w:hAnsi="Times New Roman" w:cs="Times New Roman"/>
          <w:sz w:val="24"/>
          <w:szCs w:val="24"/>
        </w:rPr>
        <w:t xml:space="preserve">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67ED0F1C" w14:textId="2C52DF69" w:rsidR="0020099D" w:rsidRPr="00002960" w:rsidRDefault="0020099D" w:rsidP="0020099D">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w:t>
      </w:r>
      <w:r w:rsidRPr="00002960">
        <w:rPr>
          <w:rFonts w:ascii="Times New Roman" w:hAnsi="Times New Roman" w:cs="Times New Roman"/>
          <w:sz w:val="24"/>
          <w:szCs w:val="24"/>
          <w:u w:val="single"/>
        </w:rPr>
        <w:t>самостоятельно.</w:t>
      </w:r>
      <w:r w:rsidRPr="00002960">
        <w:rPr>
          <w:rFonts w:ascii="Times New Roman" w:hAnsi="Times New Roman" w:cs="Times New Roman"/>
          <w:sz w:val="24"/>
          <w:szCs w:val="24"/>
        </w:rPr>
        <w:t xml:space="preserve"> </w:t>
      </w:r>
    </w:p>
    <w:p w14:paraId="02517911" w14:textId="631E49DC" w:rsidR="0095755F" w:rsidRPr="00002960" w:rsidRDefault="0095755F" w:rsidP="0020099D">
      <w:pPr>
        <w:spacing w:line="240" w:lineRule="auto"/>
        <w:ind w:firstLine="851"/>
        <w:contextualSpacing/>
        <w:jc w:val="both"/>
        <w:rPr>
          <w:rFonts w:ascii="Times New Roman" w:hAnsi="Times New Roman" w:cs="Times New Roman"/>
          <w:sz w:val="24"/>
          <w:szCs w:val="24"/>
          <w:u w:val="single"/>
        </w:rPr>
      </w:pPr>
      <w:r w:rsidRPr="00002960">
        <w:rPr>
          <w:rFonts w:ascii="Times New Roman" w:hAnsi="Times New Roman" w:cs="Times New Roman"/>
          <w:sz w:val="24"/>
          <w:szCs w:val="24"/>
        </w:rPr>
        <w:t xml:space="preserve">Контракт заключается </w:t>
      </w:r>
      <w:r w:rsidRPr="00002960">
        <w:rPr>
          <w:rFonts w:ascii="Times New Roman" w:hAnsi="Times New Roman" w:cs="Times New Roman"/>
          <w:sz w:val="24"/>
          <w:szCs w:val="24"/>
          <w:u w:val="single"/>
        </w:rPr>
        <w:t>после предоставления</w:t>
      </w:r>
      <w:r w:rsidRPr="00002960">
        <w:rPr>
          <w:rFonts w:ascii="Times New Roman" w:hAnsi="Times New Roman" w:cs="Times New Roman"/>
          <w:sz w:val="24"/>
          <w:szCs w:val="24"/>
        </w:rPr>
        <w:t xml:space="preserve"> участником закупки, с которым заключается контракт, </w:t>
      </w:r>
      <w:r w:rsidRPr="00002960">
        <w:rPr>
          <w:rFonts w:ascii="Times New Roman" w:hAnsi="Times New Roman" w:cs="Times New Roman"/>
          <w:sz w:val="24"/>
          <w:szCs w:val="24"/>
          <w:u w:val="single"/>
        </w:rPr>
        <w:t>обеспечения исполнения контракта</w:t>
      </w:r>
    </w:p>
    <w:p w14:paraId="4AB83408" w14:textId="1C046D04" w:rsidR="0020099D" w:rsidRPr="00002960" w:rsidRDefault="0020099D" w:rsidP="0020099D">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1 месяц, в том числе в случае его изменения в соответствии со статьей 95 Федерального закона № 44-ФЗ. </w:t>
      </w:r>
    </w:p>
    <w:p w14:paraId="70D70219" w14:textId="3AD7839A" w:rsidR="0095755F" w:rsidRPr="00002960" w:rsidRDefault="0095755F" w:rsidP="0020099D">
      <w:pPr>
        <w:spacing w:line="240" w:lineRule="auto"/>
        <w:ind w:firstLine="851"/>
        <w:contextualSpacing/>
        <w:jc w:val="both"/>
        <w:rPr>
          <w:rFonts w:ascii="Times New Roman" w:hAnsi="Times New Roman" w:cs="Times New Roman"/>
          <w:sz w:val="24"/>
          <w:szCs w:val="24"/>
          <w:u w:val="single"/>
        </w:rPr>
      </w:pPr>
      <w:r w:rsidRPr="00002960">
        <w:rPr>
          <w:rFonts w:ascii="Times New Roman" w:hAnsi="Times New Roman" w:cs="Times New Roman"/>
          <w:sz w:val="24"/>
          <w:szCs w:val="24"/>
        </w:rPr>
        <w:t xml:space="preserve">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w:t>
      </w:r>
      <w:r w:rsidRPr="00002960">
        <w:rPr>
          <w:rFonts w:ascii="Times New Roman" w:hAnsi="Times New Roman" w:cs="Times New Roman"/>
          <w:sz w:val="24"/>
          <w:szCs w:val="24"/>
          <w:u w:val="single"/>
        </w:rPr>
        <w:t>такой участник считается уклонившимся от заключения контракта.</w:t>
      </w:r>
    </w:p>
    <w:p w14:paraId="01C10E7B" w14:textId="77777777" w:rsidR="00836BD8" w:rsidRPr="00002960" w:rsidRDefault="0020099D" w:rsidP="00836BD8">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 xml:space="preserve">В случае наступления события, предусмотренного </w:t>
      </w:r>
      <w:r w:rsidRPr="00002960">
        <w:rPr>
          <w:rFonts w:ascii="Times New Roman" w:hAnsi="Times New Roman" w:cs="Times New Roman"/>
          <w:sz w:val="24"/>
          <w:szCs w:val="24"/>
          <w:u w:val="single"/>
        </w:rPr>
        <w:t>статьей 37 Федерального закона № 44-ФЗ,</w:t>
      </w:r>
      <w:r w:rsidRPr="00002960">
        <w:rPr>
          <w:rFonts w:ascii="Times New Roman" w:hAnsi="Times New Roman" w:cs="Times New Roman"/>
          <w:sz w:val="24"/>
          <w:szCs w:val="24"/>
        </w:rPr>
        <w:t xml:space="preserve"> участник закупки, с которым заключается контракт, предоставляет обеспечение исполнения контракта с учетом положений указанной статьи</w:t>
      </w:r>
      <w:r w:rsidR="00836BD8" w:rsidRPr="00002960">
        <w:rPr>
          <w:rFonts w:ascii="Times New Roman" w:hAnsi="Times New Roman" w:cs="Times New Roman"/>
          <w:sz w:val="24"/>
          <w:szCs w:val="24"/>
        </w:rPr>
        <w:t xml:space="preserve">: </w:t>
      </w:r>
    </w:p>
    <w:p w14:paraId="24B660F1" w14:textId="77777777" w:rsidR="00002960" w:rsidRPr="00002960" w:rsidRDefault="00002960" w:rsidP="00002960">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не менее размера аванса (если контрактом предусмотрена выплата аванса).</w:t>
      </w:r>
    </w:p>
    <w:p w14:paraId="35DECCD6" w14:textId="3E2590AB" w:rsidR="00002960" w:rsidRPr="00002960" w:rsidRDefault="00002960" w:rsidP="00002960">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 xml:space="preserve">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о контрактной системе,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 </w:t>
      </w:r>
    </w:p>
    <w:p w14:paraId="57473CE9" w14:textId="61C11575" w:rsidR="00002960" w:rsidRPr="00002960" w:rsidRDefault="00002960" w:rsidP="00002960">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w:t>
      </w:r>
      <w:r w:rsidRPr="00002960">
        <w:rPr>
          <w:rFonts w:ascii="Times New Roman" w:hAnsi="Times New Roman" w:cs="Times New Roman"/>
          <w:sz w:val="24"/>
          <w:szCs w:val="24"/>
        </w:rPr>
        <w:lastRenderedPageBreak/>
        <w:t>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приглашении и документации о закупке (в случае, если настоящим Федеральным законом предусмотрена документация о закупке).</w:t>
      </w:r>
    </w:p>
    <w:p w14:paraId="54E34C44" w14:textId="452F3125" w:rsidR="0095755F" w:rsidRPr="00002960" w:rsidRDefault="0095755F" w:rsidP="00836BD8">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E7D2D69" w14:textId="3C127B2B" w:rsidR="0095755F" w:rsidRPr="00002960" w:rsidRDefault="0095755F" w:rsidP="00836BD8">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системы.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2C0BFA9D" w14:textId="5064D0EC" w:rsidR="0095755F" w:rsidRPr="00002960" w:rsidRDefault="0095755F" w:rsidP="005A33B6">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Предусмотренное частями 7 и 7.1  статьи 96 Закона о контрактной системе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о контрактной системе,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r w:rsidR="005A33B6" w:rsidRPr="00002960">
        <w:rPr>
          <w:rFonts w:ascii="Times New Roman" w:hAnsi="Times New Roman" w:cs="Times New Roman"/>
          <w:sz w:val="24"/>
          <w:szCs w:val="24"/>
        </w:rPr>
        <w:t xml:space="preserve"> Положения Закона о контрактной системе об обеспечении исполнения контракта, включая положения о предоставлении такого обеспечения с учетом положений статьи 37 Закона о контрактной системе,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14:paraId="26E52E49" w14:textId="222D52B4" w:rsidR="00002960" w:rsidRPr="00002960" w:rsidRDefault="00002960" w:rsidP="005A33B6">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t>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6.1 статьи 96 Закона о контрактной системе от цены контракта, по которой в соответствии с Законом о контрактной системе заключается контракт.</w:t>
      </w:r>
    </w:p>
    <w:p w14:paraId="46AFC89F" w14:textId="5B6ED7D7" w:rsidR="00002960" w:rsidRDefault="00002960" w:rsidP="005A33B6">
      <w:pPr>
        <w:spacing w:line="240" w:lineRule="auto"/>
        <w:ind w:firstLine="851"/>
        <w:contextualSpacing/>
        <w:jc w:val="both"/>
        <w:rPr>
          <w:rFonts w:ascii="Times New Roman" w:hAnsi="Times New Roman" w:cs="Times New Roman"/>
          <w:sz w:val="24"/>
          <w:szCs w:val="24"/>
        </w:rPr>
      </w:pPr>
      <w:r w:rsidRPr="00002960">
        <w:rPr>
          <w:rFonts w:ascii="Times New Roman" w:hAnsi="Times New Roman" w:cs="Times New Roman"/>
          <w:sz w:val="24"/>
          <w:szCs w:val="24"/>
        </w:rPr>
        <w:lastRenderedPageBreak/>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20F21238" w14:textId="1F9E923C" w:rsidR="00FD4265" w:rsidRDefault="00FD4265" w:rsidP="00FD4265">
      <w:pPr>
        <w:spacing w:line="240" w:lineRule="auto"/>
        <w:ind w:firstLine="851"/>
        <w:contextualSpacing/>
        <w:jc w:val="both"/>
        <w:rPr>
          <w:rFonts w:ascii="Times New Roman" w:hAnsi="Times New Roman" w:cs="Times New Roman"/>
          <w:sz w:val="24"/>
          <w:szCs w:val="24"/>
        </w:rPr>
      </w:pPr>
      <w:r w:rsidRPr="00FD4265">
        <w:rPr>
          <w:rFonts w:ascii="Times New Roman" w:hAnsi="Times New Roman" w:cs="Times New Roman"/>
          <w:sz w:val="24"/>
          <w:szCs w:val="24"/>
        </w:rPr>
        <w:t xml:space="preserve">В случае </w:t>
      </w:r>
      <w:r w:rsidRPr="00FD4265">
        <w:rPr>
          <w:rFonts w:ascii="Times New Roman" w:hAnsi="Times New Roman" w:cs="Times New Roman"/>
          <w:b/>
          <w:bCs/>
          <w:sz w:val="24"/>
          <w:szCs w:val="24"/>
        </w:rPr>
        <w:t>если</w:t>
      </w:r>
      <w:r w:rsidRPr="00FD4265">
        <w:rPr>
          <w:rFonts w:ascii="Times New Roman" w:hAnsi="Times New Roman" w:cs="Times New Roman"/>
          <w:sz w:val="24"/>
          <w:szCs w:val="24"/>
        </w:rPr>
        <w:t xml:space="preserve"> обеспечением исполнения контракта является внесение денежных средств, денежные средства перечисляются по следующим реквизитам:</w:t>
      </w:r>
    </w:p>
    <w:p w14:paraId="71ED183A"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 xml:space="preserve">Наименование: Финансовое управление администрации Карагинского муниципального района (МБДОУ "Детский сад" </w:t>
      </w:r>
      <w:proofErr w:type="spellStart"/>
      <w:r w:rsidRPr="005B623E">
        <w:rPr>
          <w:rFonts w:ascii="Times New Roman" w:hAnsi="Times New Roman" w:cs="Times New Roman"/>
          <w:sz w:val="24"/>
          <w:szCs w:val="24"/>
        </w:rPr>
        <w:t>с.Тымлат</w:t>
      </w:r>
      <w:proofErr w:type="spellEnd"/>
      <w:r w:rsidRPr="005B623E">
        <w:rPr>
          <w:rFonts w:ascii="Times New Roman" w:hAnsi="Times New Roman" w:cs="Times New Roman"/>
          <w:sz w:val="24"/>
          <w:szCs w:val="24"/>
        </w:rPr>
        <w:t xml:space="preserve"> л/с 20386У92420)</w:t>
      </w:r>
    </w:p>
    <w:p w14:paraId="2FC74F20"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ИНН/КПП: 8203001928/820301001</w:t>
      </w:r>
    </w:p>
    <w:p w14:paraId="0C334164"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ОГРН: 1038200842140</w:t>
      </w:r>
    </w:p>
    <w:p w14:paraId="256046BD" w14:textId="77777777" w:rsidR="00303E27"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 xml:space="preserve">Адрес: 688710, Камчатский край, Карагинский р-н, с. Тымлат, Чечулина ул., </w:t>
      </w:r>
    </w:p>
    <w:p w14:paraId="798676FB"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дом № 7</w:t>
      </w:r>
    </w:p>
    <w:p w14:paraId="368F6F79"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Банковские реквизиты:</w:t>
      </w:r>
    </w:p>
    <w:p w14:paraId="37B44B33"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Наименование банка получателя: ОТДЕЛЕНИЕ ПЕТРОПАВЛОВСК-КАМЧАТСКИЙ БАНКА РОССИИ/УФК по Камчатскому краю, г. Петропавловск-Камчатский</w:t>
      </w:r>
    </w:p>
    <w:p w14:paraId="1AB5BFFE"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БИК: 013002402</w:t>
      </w:r>
    </w:p>
    <w:p w14:paraId="49932C4B"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Казначейский счёт: 03234643308240003800</w:t>
      </w:r>
    </w:p>
    <w:p w14:paraId="2E171BDA"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Единый казначейский счёт: 40102810945370000031</w:t>
      </w:r>
    </w:p>
    <w:p w14:paraId="47945588" w14:textId="77777777" w:rsidR="00303E27" w:rsidRPr="005B623E" w:rsidRDefault="00303E27" w:rsidP="00303E27">
      <w:pPr>
        <w:spacing w:line="240" w:lineRule="auto"/>
        <w:ind w:firstLine="851"/>
        <w:contextualSpacing/>
        <w:jc w:val="both"/>
        <w:rPr>
          <w:rFonts w:ascii="Times New Roman" w:hAnsi="Times New Roman" w:cs="Times New Roman"/>
          <w:sz w:val="24"/>
          <w:szCs w:val="24"/>
        </w:rPr>
      </w:pPr>
      <w:r w:rsidRPr="005B623E">
        <w:rPr>
          <w:rFonts w:ascii="Times New Roman" w:hAnsi="Times New Roman" w:cs="Times New Roman"/>
          <w:sz w:val="24"/>
          <w:szCs w:val="24"/>
        </w:rPr>
        <w:t>КБК 00000000000000000510</w:t>
      </w:r>
    </w:p>
    <w:p w14:paraId="20A22C5B" w14:textId="77777777" w:rsidR="00303E27" w:rsidRDefault="00303E27" w:rsidP="00303E27">
      <w:pPr>
        <w:spacing w:line="240" w:lineRule="auto"/>
        <w:ind w:firstLine="851"/>
        <w:contextualSpacing/>
        <w:jc w:val="both"/>
        <w:rPr>
          <w:rFonts w:ascii="Times New Roman" w:hAnsi="Times New Roman" w:cs="Times New Roman"/>
          <w:sz w:val="24"/>
          <w:szCs w:val="24"/>
        </w:rPr>
      </w:pPr>
    </w:p>
    <w:p w14:paraId="7986E315" w14:textId="77777777" w:rsidR="000B6308" w:rsidRPr="00B763CC" w:rsidRDefault="000B6308" w:rsidP="004074C4">
      <w:pPr>
        <w:spacing w:after="0" w:line="240" w:lineRule="auto"/>
        <w:rPr>
          <w:rFonts w:ascii="Times New Roman" w:hAnsi="Times New Roman" w:cs="Times New Roman"/>
          <w:sz w:val="24"/>
          <w:szCs w:val="24"/>
        </w:rPr>
      </w:pPr>
    </w:p>
    <w:sectPr w:rsidR="000B6308" w:rsidRPr="00B763CC" w:rsidSect="005A33B6">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99D"/>
    <w:rsid w:val="00002960"/>
    <w:rsid w:val="000B6308"/>
    <w:rsid w:val="001034A0"/>
    <w:rsid w:val="0020099D"/>
    <w:rsid w:val="002A5578"/>
    <w:rsid w:val="002B708A"/>
    <w:rsid w:val="00303E27"/>
    <w:rsid w:val="004074C4"/>
    <w:rsid w:val="00497C75"/>
    <w:rsid w:val="005A33B6"/>
    <w:rsid w:val="005B1850"/>
    <w:rsid w:val="00662E85"/>
    <w:rsid w:val="007C0466"/>
    <w:rsid w:val="007E643B"/>
    <w:rsid w:val="00836BD8"/>
    <w:rsid w:val="0095755F"/>
    <w:rsid w:val="00B763CC"/>
    <w:rsid w:val="00E7464A"/>
    <w:rsid w:val="00FD4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8E98"/>
  <w15:chartTrackingRefBased/>
  <w15:docId w15:val="{5FC54A56-F0F1-4096-8FD0-CCF2C9FA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1468</Words>
  <Characters>8372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19</cp:revision>
  <dcterms:created xsi:type="dcterms:W3CDTF">2022-03-04T02:36:00Z</dcterms:created>
  <dcterms:modified xsi:type="dcterms:W3CDTF">2024-04-08T17:32:00Z</dcterms:modified>
</cp:coreProperties>
</file>